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3CDA3FD2" w14:textId="77777777" w:rsidR="001B0B10" w:rsidRPr="001C0B19" w:rsidRDefault="001B0B10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51104052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POLÍTICA DE COPIAS DE SEGURIDAD</w:t>
      </w:r>
    </w:p>
    <w:p w14:paraId="77805B15" w14:textId="77777777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Esta Política de Copias de Seguridad (“Política”) se establece con el fin de definir los lineamientos para la creación, gestión y restauración de respaldos asociados a servicios digitales, sitios web, aplicaciones, archivos o sistemas administrados por el proveedor.</w:t>
      </w:r>
    </w:p>
    <w:p w14:paraId="5DD3477E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0D6A95E7" w14:textId="77777777" w:rsidR="001C0B19" w:rsidRDefault="001C0B19" w:rsidP="00FA1C5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Objeto de la Política</w:t>
      </w:r>
    </w:p>
    <w:p w14:paraId="123337E8" w14:textId="4D056C53" w:rsid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El propósito de esta Política es garantizar que los datos críticos cuenten con mecanismos de respaldo razonables para mitigar pérdidas causadas por fallas técnicas, errores humanos o eventos imprevistos.</w:t>
      </w:r>
    </w:p>
    <w:p w14:paraId="641988D6" w14:textId="77777777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42A36E08" w14:textId="77777777" w:rsidR="001C0B19" w:rsidRDefault="001C0B19" w:rsidP="00FA1C5A">
      <w:pPr>
        <w:numPr>
          <w:ilvl w:val="0"/>
          <w:numId w:val="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Alcance del Servicio</w:t>
      </w:r>
    </w:p>
    <w:p w14:paraId="51F47BBF" w14:textId="12C0FF27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Las copias de seguridad podrán incluir:</w:t>
      </w:r>
    </w:p>
    <w:p w14:paraId="2B3C3EA2" w14:textId="77777777" w:rsidR="001C0B19" w:rsidRPr="001C0B19" w:rsidRDefault="001C0B19" w:rsidP="00FA1C5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Archivos del sitio web o aplicación.</w:t>
      </w:r>
    </w:p>
    <w:p w14:paraId="413B8413" w14:textId="77777777" w:rsidR="001C0B19" w:rsidRPr="001C0B19" w:rsidRDefault="001C0B19" w:rsidP="00FA1C5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Bases de datos.</w:t>
      </w:r>
    </w:p>
    <w:p w14:paraId="2346A1B9" w14:textId="77777777" w:rsidR="001C0B19" w:rsidRPr="001C0B19" w:rsidRDefault="001C0B19" w:rsidP="00FA1C5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Configuraciones técnicas esenciales.</w:t>
      </w:r>
    </w:p>
    <w:p w14:paraId="67B7015C" w14:textId="77777777" w:rsidR="001C0B19" w:rsidRDefault="001C0B19" w:rsidP="00FA1C5A">
      <w:pPr>
        <w:numPr>
          <w:ilvl w:val="0"/>
          <w:numId w:val="2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Archivos suministrados de manera explícita por el cliente.</w:t>
      </w:r>
    </w:p>
    <w:p w14:paraId="11093145" w14:textId="77777777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28B3DD17" w14:textId="77777777" w:rsidR="001C0B19" w:rsidRDefault="001C0B19" w:rsidP="00FA1C5A">
      <w:pPr>
        <w:numPr>
          <w:ilvl w:val="0"/>
          <w:numId w:val="3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Frecuencia de los Respaldos</w:t>
      </w:r>
    </w:p>
    <w:p w14:paraId="72BC0760" w14:textId="1735779A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La creación de copias de seguridad se realizará según el plan contratado, pudiendo ser:</w:t>
      </w:r>
      <w:r w:rsidRPr="001C0B19">
        <w:rPr>
          <w:rFonts w:ascii="Arial" w:hAnsi="Arial" w:cs="Arial"/>
          <w:bCs/>
          <w:color w:val="404040" w:themeColor="text1" w:themeTint="BF"/>
        </w:rPr>
        <w:br/>
        <w:t>a) Diaria</w:t>
      </w:r>
      <w:r w:rsidRPr="001C0B19">
        <w:rPr>
          <w:rFonts w:ascii="Arial" w:hAnsi="Arial" w:cs="Arial"/>
          <w:bCs/>
          <w:color w:val="404040" w:themeColor="text1" w:themeTint="BF"/>
        </w:rPr>
        <w:br/>
        <w:t>b) Semanal</w:t>
      </w:r>
      <w:r w:rsidRPr="001C0B19">
        <w:rPr>
          <w:rFonts w:ascii="Arial" w:hAnsi="Arial" w:cs="Arial"/>
          <w:bCs/>
          <w:color w:val="404040" w:themeColor="text1" w:themeTint="BF"/>
        </w:rPr>
        <w:br/>
        <w:t>c) Mensual</w:t>
      </w:r>
      <w:r w:rsidRPr="001C0B19">
        <w:rPr>
          <w:rFonts w:ascii="Arial" w:hAnsi="Arial" w:cs="Arial"/>
          <w:bCs/>
          <w:color w:val="404040" w:themeColor="text1" w:themeTint="BF"/>
        </w:rPr>
        <w:br/>
        <w:t>d) Manual bajo solicitud del cliente</w:t>
      </w:r>
    </w:p>
    <w:p w14:paraId="3273EFBA" w14:textId="77777777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La frecuencia exacta dependerá de las características del servicio adquirido.</w:t>
      </w:r>
    </w:p>
    <w:p w14:paraId="793A03EB" w14:textId="77777777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1B53852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03E75A2" w14:textId="77777777" w:rsidR="001C0B19" w:rsidRDefault="001C0B19" w:rsidP="00FA1C5A">
      <w:pPr>
        <w:numPr>
          <w:ilvl w:val="0"/>
          <w:numId w:val="4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Almacenamiento de los Respaldos</w:t>
      </w:r>
    </w:p>
    <w:p w14:paraId="24C0842B" w14:textId="5733AB81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Las copias podrán almacenarse en:</w:t>
      </w:r>
    </w:p>
    <w:p w14:paraId="089B380C" w14:textId="77777777" w:rsidR="001C0B19" w:rsidRPr="001C0B19" w:rsidRDefault="001C0B19" w:rsidP="00FA1C5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Servidores locales del proveedor.</w:t>
      </w:r>
    </w:p>
    <w:p w14:paraId="45C1D058" w14:textId="77777777" w:rsidR="001C0B19" w:rsidRPr="001C0B19" w:rsidRDefault="001C0B19" w:rsidP="00FA1C5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Servidores externos o en la nube.</w:t>
      </w:r>
    </w:p>
    <w:p w14:paraId="37628B59" w14:textId="77777777" w:rsidR="001C0B19" w:rsidRPr="001C0B19" w:rsidRDefault="001C0B19" w:rsidP="00FA1C5A">
      <w:pPr>
        <w:numPr>
          <w:ilvl w:val="0"/>
          <w:numId w:val="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Plataformas de terceros asociadas al servicio.</w:t>
      </w:r>
    </w:p>
    <w:p w14:paraId="74476407" w14:textId="71D55D85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El proveedor aplicará medidas razonables de seguridad, sin garantizar protección absoluta contra ataques o fallos externos.</w:t>
      </w:r>
    </w:p>
    <w:p w14:paraId="2171B69F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277BC9E" w14:textId="77777777" w:rsidR="001C0B19" w:rsidRDefault="001C0B19" w:rsidP="00FA1C5A">
      <w:pPr>
        <w:numPr>
          <w:ilvl w:val="0"/>
          <w:numId w:val="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Restauración de Información</w:t>
      </w:r>
    </w:p>
    <w:p w14:paraId="47284E81" w14:textId="668BBE7B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El proveedor brindará asistencia para restaurar la información respaldada cuando:</w:t>
      </w:r>
    </w:p>
    <w:p w14:paraId="70587D82" w14:textId="77777777" w:rsidR="001C0B19" w:rsidRPr="001C0B19" w:rsidRDefault="001C0B19" w:rsidP="00FA1C5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Exista un respaldo disponible.</w:t>
      </w:r>
    </w:p>
    <w:p w14:paraId="0DD3CB7B" w14:textId="77777777" w:rsidR="001C0B19" w:rsidRPr="001C0B19" w:rsidRDefault="001C0B19" w:rsidP="00FA1C5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Sea técnicamente posible la restauración.</w:t>
      </w:r>
    </w:p>
    <w:p w14:paraId="1131ECDA" w14:textId="77777777" w:rsidR="001C0B19" w:rsidRPr="001C0B19" w:rsidRDefault="001C0B19" w:rsidP="00FA1C5A">
      <w:pPr>
        <w:numPr>
          <w:ilvl w:val="0"/>
          <w:numId w:val="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El cliente lo solicite mediante los canales oficiales.</w:t>
      </w:r>
    </w:p>
    <w:p w14:paraId="1A1760A8" w14:textId="0DE3DD0F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Algunas restauraciones podrán generar costos adicionales, dependiendo del plan contratado.</w:t>
      </w:r>
    </w:p>
    <w:p w14:paraId="79A43B9F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2C90454A" w14:textId="77777777" w:rsidR="001C0B19" w:rsidRDefault="001C0B19" w:rsidP="00FA1C5A">
      <w:pPr>
        <w:numPr>
          <w:ilvl w:val="0"/>
          <w:numId w:val="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Limitaciones</w:t>
      </w:r>
    </w:p>
    <w:p w14:paraId="26B92203" w14:textId="35BEEB8B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Las copias de seguridad no garantizan:</w:t>
      </w:r>
      <w:r w:rsidRPr="001C0B19">
        <w:rPr>
          <w:rFonts w:ascii="Arial" w:hAnsi="Arial" w:cs="Arial"/>
          <w:bCs/>
          <w:color w:val="404040" w:themeColor="text1" w:themeTint="BF"/>
        </w:rPr>
        <w:br/>
        <w:t>a) Recuperación total de datos en caso de pérdida severa.</w:t>
      </w:r>
      <w:r w:rsidRPr="001C0B19">
        <w:rPr>
          <w:rFonts w:ascii="Arial" w:hAnsi="Arial" w:cs="Arial"/>
          <w:bCs/>
          <w:color w:val="404040" w:themeColor="text1" w:themeTint="BF"/>
        </w:rPr>
        <w:br/>
        <w:t>b) Disponibilidad de respaldos creados por plataformas de terceros.</w:t>
      </w:r>
      <w:r w:rsidRPr="001C0B19">
        <w:rPr>
          <w:rFonts w:ascii="Arial" w:hAnsi="Arial" w:cs="Arial"/>
          <w:bCs/>
          <w:color w:val="404040" w:themeColor="text1" w:themeTint="BF"/>
        </w:rPr>
        <w:br/>
        <w:t>c) Integridad de información modificada por el cliente sin notificación previa.</w:t>
      </w:r>
    </w:p>
    <w:p w14:paraId="275A8909" w14:textId="77777777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El proveedor no será responsable por pérdida de datos derivada de acciones de terceros, ataques externos o fallas del servidor ajenas a su control.</w:t>
      </w:r>
    </w:p>
    <w:p w14:paraId="785F0E28" w14:textId="77777777" w:rsid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71AF0C7D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637F1045" w14:textId="77777777" w:rsidR="001C0B19" w:rsidRDefault="001C0B19" w:rsidP="00FA1C5A">
      <w:pPr>
        <w:numPr>
          <w:ilvl w:val="0"/>
          <w:numId w:val="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lastRenderedPageBreak/>
        <w:t>Responsabilidades del Cliente</w:t>
      </w:r>
    </w:p>
    <w:p w14:paraId="5747DDBC" w14:textId="1CA00075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El cliente deberá:</w:t>
      </w:r>
    </w:p>
    <w:p w14:paraId="7B12495D" w14:textId="77777777" w:rsidR="001C0B19" w:rsidRPr="001C0B19" w:rsidRDefault="001C0B19" w:rsidP="00FA1C5A">
      <w:pPr>
        <w:numPr>
          <w:ilvl w:val="0"/>
          <w:numId w:val="10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Informar sobre necesidades especiales de respaldo.</w:t>
      </w:r>
    </w:p>
    <w:p w14:paraId="07956D59" w14:textId="77777777" w:rsidR="001C0B19" w:rsidRPr="001C0B19" w:rsidRDefault="001C0B19" w:rsidP="00FA1C5A">
      <w:pPr>
        <w:numPr>
          <w:ilvl w:val="0"/>
          <w:numId w:val="10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Guardar copias adicionales si requiere niveles superiores de protección.</w:t>
      </w:r>
    </w:p>
    <w:p w14:paraId="0A90ACDA" w14:textId="77777777" w:rsidR="001C0B19" w:rsidRDefault="001C0B19" w:rsidP="00FA1C5A">
      <w:pPr>
        <w:numPr>
          <w:ilvl w:val="0"/>
          <w:numId w:val="10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Notificar oportunamente cualquier incidente que requiera restauración.</w:t>
      </w:r>
    </w:p>
    <w:p w14:paraId="413E56BB" w14:textId="77777777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0F920FB0" w14:textId="77777777" w:rsidR="001C0B19" w:rsidRDefault="001C0B19" w:rsidP="00FA1C5A">
      <w:pPr>
        <w:numPr>
          <w:ilvl w:val="0"/>
          <w:numId w:val="1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Conservación de Respaldos</w:t>
      </w:r>
    </w:p>
    <w:p w14:paraId="6B43DF8A" w14:textId="71709EE9" w:rsid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Los respaldos se conservarán por un periodo razonable según el plan contratado. Una vez superado dicho periodo, podrán ser eliminados automáticamente.</w:t>
      </w:r>
    </w:p>
    <w:p w14:paraId="088D57E5" w14:textId="77777777" w:rsidR="001C0B19" w:rsidRPr="001C0B19" w:rsidRDefault="001C0B19" w:rsidP="001C0B19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31719A6C" w14:textId="77777777" w:rsidR="001C0B19" w:rsidRDefault="001C0B19" w:rsidP="00FA1C5A">
      <w:pPr>
        <w:numPr>
          <w:ilvl w:val="0"/>
          <w:numId w:val="1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Modificaciones</w:t>
      </w:r>
    </w:p>
    <w:p w14:paraId="25E3A1C1" w14:textId="6E3DFDD8" w:rsid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br/>
        <w:t>Cualquier modificación a esta Política deberá ser publicada con fecha de actualización.</w:t>
      </w:r>
    </w:p>
    <w:p w14:paraId="5B4034CA" w14:textId="77777777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493603D2" w14:textId="77777777" w:rsidR="001C0B19" w:rsidRDefault="001C0B19" w:rsidP="00FA1C5A">
      <w:pPr>
        <w:numPr>
          <w:ilvl w:val="0"/>
          <w:numId w:val="11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1C0B19">
        <w:rPr>
          <w:rFonts w:ascii="Arial" w:hAnsi="Arial" w:cs="Arial"/>
          <w:bCs/>
          <w:color w:val="404040" w:themeColor="text1" w:themeTint="BF"/>
        </w:rPr>
        <w:t>Fecha de Actualización</w:t>
      </w:r>
    </w:p>
    <w:p w14:paraId="28C11CE4" w14:textId="383D7258" w:rsidR="001C0B19" w:rsidRPr="001C0B19" w:rsidRDefault="001C0B19" w:rsidP="001C0B19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bookmarkStart w:id="0" w:name="_GoBack"/>
      <w:bookmarkEnd w:id="0"/>
      <w:r w:rsidRPr="001C0B19">
        <w:rPr>
          <w:rFonts w:ascii="Arial" w:hAnsi="Arial" w:cs="Arial"/>
          <w:bCs/>
          <w:color w:val="404040" w:themeColor="text1" w:themeTint="BF"/>
        </w:rPr>
        <w:br/>
        <w:t>Última actualización: ______________________</w:t>
      </w:r>
    </w:p>
    <w:p w14:paraId="1E418610" w14:textId="77777777" w:rsidR="001C0B19" w:rsidRPr="001C0B19" w:rsidRDefault="001C0B19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52C0DCDE" w14:textId="77777777" w:rsidR="001C0B19" w:rsidRPr="001C0B19" w:rsidRDefault="001C0B19" w:rsidP="001B0B10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4BE60E4F" w14:textId="77777777" w:rsidR="001C0B19" w:rsidRPr="001C0B19" w:rsidRDefault="001C0B1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1C0B19" w:rsidRPr="001C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D3A25" w14:textId="77777777" w:rsidR="00FA1C5A" w:rsidRDefault="00FA1C5A" w:rsidP="000C29C4">
      <w:r>
        <w:separator/>
      </w:r>
    </w:p>
  </w:endnote>
  <w:endnote w:type="continuationSeparator" w:id="0">
    <w:p w14:paraId="48F2FC21" w14:textId="77777777" w:rsidR="00FA1C5A" w:rsidRDefault="00FA1C5A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311A7" w14:textId="77777777" w:rsidR="00FA1C5A" w:rsidRDefault="00FA1C5A" w:rsidP="000C29C4">
      <w:r>
        <w:separator/>
      </w:r>
    </w:p>
  </w:footnote>
  <w:footnote w:type="continuationSeparator" w:id="0">
    <w:p w14:paraId="0B4C8045" w14:textId="77777777" w:rsidR="00FA1C5A" w:rsidRDefault="00FA1C5A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449A"/>
    <w:multiLevelType w:val="multilevel"/>
    <w:tmpl w:val="F64C6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5621F"/>
    <w:multiLevelType w:val="multilevel"/>
    <w:tmpl w:val="2766CA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B1983"/>
    <w:multiLevelType w:val="multilevel"/>
    <w:tmpl w:val="C5D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41914"/>
    <w:multiLevelType w:val="multilevel"/>
    <w:tmpl w:val="B1A0D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06F7"/>
    <w:multiLevelType w:val="multilevel"/>
    <w:tmpl w:val="DF0A0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73D85"/>
    <w:multiLevelType w:val="multilevel"/>
    <w:tmpl w:val="B6BC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A3DD9"/>
    <w:multiLevelType w:val="multilevel"/>
    <w:tmpl w:val="E4C60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13E07"/>
    <w:multiLevelType w:val="multilevel"/>
    <w:tmpl w:val="8D2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C3E20"/>
    <w:multiLevelType w:val="multilevel"/>
    <w:tmpl w:val="14B4B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66C27"/>
    <w:multiLevelType w:val="multilevel"/>
    <w:tmpl w:val="CDF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5760F"/>
    <w:multiLevelType w:val="multilevel"/>
    <w:tmpl w:val="C2F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1C5A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2025-11-17T00:37:00Z</dcterms:created>
  <dcterms:modified xsi:type="dcterms:W3CDTF">2025-11-17T00:37:00Z</dcterms:modified>
</cp:coreProperties>
</file>